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(STATUTORY) HOLIDAYS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employment rights as established by the Yukon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Employment Standards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Specifically, [Organization Name] will ensure that it adheres to the provisions established for general holidays in the Yukon.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Year’s Day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Friday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Victoria Day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Indigenous Peoples Day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Canada Day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Discovery Day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Labour Day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Day for Truth and Reconciliation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Thanksgiving Day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Remembrance Day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Christmas Day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qualified employees who are entitled to statutory holidays off from work will be paid the appropriate statutory holiday pay. If a general holiday falls on a day that is a non-working day for an employee, the employee is entitled to and shall be granted a holiday with pay on the working day immediately following the general holiday.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needed, [Organization Name] may request that employees work on the day of the statutory holiday. Where an employee is required to work on a statutory holiday, they will be paid: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holiday pay equal to the applicable overtime rate for all hours worked on the holiday; or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their regular rate of pay for the hours worked on that day plus a day off which may be added to the employee’s annual vacation or granted as a day off at a time convenient to the employer and employee.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 who is not working on a General Holiday but must work another day in the same week that would otherwise be a non-working day, is entitled to overtime pay.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event an employee’s employment with [Organization Name] concludes prior to the substitute holiday day, [Organization Name] will ensure that the employee’s statutory holiday pay entitlement is included in their final wages.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Qualifying for Statutory Holiday Pay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 must meet the following criteria to qualify for a general holiday with pay: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completed 30 calendar days of employment before the holiday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worked or earned wages in the two week period preceding the general holiday (includes when an employee is on paid vacation);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worked their scheduled shift before and after the holiday (unless the absence is permitted by the Act or the employer); and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reported to work on the holiday if required or scheduled (unless the absence is permitted by the Act or the employer)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an employee does not qualify for statutory holiday pay, they are paid regular pay for working on a statutory holiday.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inline distB="114300" distT="114300" distL="114300" distR="114300">
          <wp:extent cx="304800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